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59. Бюджет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Сельское поселение имеет собственный бюджет (далее - бюджет сельского поселения, местный бюджет).</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Местный бюджет исполняется на основе единства кассы и подведомственности расходов.</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Годовой отчет об исполнении местного бюджета подлежит утверждению муниципальным правовым актом Совета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Годовой отчет об исполнении местного бюджета представляется в Совет сельского поселения не позднее 1 мая текущего года.</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60. Доходы и расходы бюджета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61. Закупки для обеспечения муниципальных нужд</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Закупки товаров, работ, услуг для обеспечения муниципальных нужд осуществляются за счет средств местного бюджета.</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62. Средства самообложения граждан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Статья 63. Муниципальные заимствования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привлечения заемных средств устанавливается Советом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64. Казна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Глава 7. Ответственность органов местного самоуправления и должностных лиц местного самоуправления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65. Ответственность органов местного самоуправления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должностных лиц местного самоуправления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66. Ответственность депутатов, главы сельского поселения перед населением</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67. Ответственность органов местного самоуправления и должностных лиц местного самоуправления перед государством</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68. Ответственность Совета сельского поселения перед государством</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Полномочия Совета сельского поселения также прекращается со дня вступления в силу Закона Республики Коми о его роспуске:</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69. Ответственность главы сельского поселения перед государством</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соответствии с федеральным законодательством.</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70. Удаление главы сельского поселения в отставку</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Основаниями для удаления главы сельского поселения в отставку являются: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5) допущение главой сельского поселения, местной администрацией, иными органами и должностными лицами местного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w:t>
      </w:r>
      <w:r>
        <w:rPr>
          <w:rFonts w:ascii="Arial" w:hAnsi="Arial" w:cs="Arial"/>
          <w:color w:val="333333"/>
          <w:sz w:val="18"/>
          <w:szCs w:val="18"/>
        </w:rPr>
        <w:lastRenderedPageBreak/>
        <w:t>Коми уведомляются не позднее дня, следующего за днем внесения указанного обращения в Совет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в соответствии с федеральным законодательством.</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Глава 8. Заключительные положения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71. Государственная регистрация и вступление в силу Устава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Статья 72. Порядок внесения изменений и дополнений в Устав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6. Решение Совета сельского поселения о внесении изменений и дополнений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73. Вступление в силу нового устава сельского поселения</w:t>
      </w:r>
    </w:p>
    <w:p w:rsidR="00861B05" w:rsidRDefault="00861B05" w:rsidP="00861B05">
      <w:pPr>
        <w:pStyle w:val="a3"/>
        <w:shd w:val="clear" w:color="auto" w:fill="FFFFFF"/>
        <w:jc w:val="both"/>
        <w:rPr>
          <w:rFonts w:ascii="Arial" w:hAnsi="Arial" w:cs="Arial"/>
          <w:color w:val="333333"/>
          <w:sz w:val="18"/>
          <w:szCs w:val="18"/>
        </w:rPr>
      </w:pPr>
      <w:r>
        <w:rPr>
          <w:rFonts w:ascii="Arial" w:hAnsi="Arial" w:cs="Arial"/>
          <w:color w:val="333333"/>
          <w:sz w:val="18"/>
          <w:szCs w:val="18"/>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BA5414" w:rsidRPr="00861B05" w:rsidRDefault="00BA5414" w:rsidP="00861B05">
      <w:bookmarkStart w:id="0" w:name="_GoBack"/>
      <w:bookmarkEnd w:id="0"/>
    </w:p>
    <w:sectPr w:rsidR="00BA5414" w:rsidRPr="00861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14"/>
    <w:rsid w:val="00861B05"/>
    <w:rsid w:val="00BA5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Words>
  <Characters>20005</Characters>
  <Application>Microsoft Office Word</Application>
  <DocSecurity>0</DocSecurity>
  <Lines>166</Lines>
  <Paragraphs>46</Paragraphs>
  <ScaleCrop>false</ScaleCrop>
  <Company/>
  <LinksUpToDate>false</LinksUpToDate>
  <CharactersWithSpaces>23468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2022-11-25T07:20:00Z</dcterms:created>
  <dcterms:modified xsi:type="dcterms:W3CDTF">2022-11-25T07:20:00Z</dcterms:modified>
</cp:coreProperties>
</file>